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before="480"/>
      </w:pPr>
      <w:r>
        <w:rPr>
          <w:rFonts w:ascii="Arial" w:cs="Arial" w:eastAsia="Arial" w:hAnsi="Arial"/>
          <w:b/>
          <w:bCs/>
          <w:color w:val="1A5276"/>
          <w:sz w:val="48"/>
          <w:szCs w:val="48"/>
        </w:rPr>
        <w:t xml:space="preserve">AI NEWS BUSINESS PROGRAM</w:t>
      </w:r>
    </w:p>
    <w:p>
      <w:pPr>
        <w:spacing w:after="40" w:before="0"/>
      </w:pPr>
      <w:r>
        <w:rPr>
          <w:rFonts w:ascii="Arial" w:cs="Arial" w:eastAsia="Arial" w:hAnsi="Arial"/>
          <w:color w:val="2E86C1"/>
          <w:sz w:val="28"/>
          <w:szCs w:val="28"/>
        </w:rPr>
        <w:t xml:space="preserve">Brief ejecutivo para la reunión 1vs1 con Google</w:t>
      </w:r>
    </w:p>
    <w:p>
      <w:pPr>
        <w:spacing w:after="40" w:before="0"/>
      </w:pPr>
      <w:r>
        <w:rPr>
          <w:rFonts w:ascii="Arial" w:cs="Arial" w:eastAsia="Arial" w:hAnsi="Arial"/>
          <w:i/>
          <w:iCs/>
          <w:color w:val="666666"/>
          <w:sz w:val="22"/>
          <w:szCs w:val="22"/>
        </w:rPr>
        <w:t xml:space="preserve">Track Técnico + Track Editorial  |  Junio 2026</w:t>
      </w:r>
    </w:p>
    <w:p>
      <w:pPr>
        <w:pBdr>
          <w:bottom w:val="single" w:color="2E86C1" w:sz="6" w:space="1"/>
        </w:pBdr>
        <w:spacing w:after="120" w:before="120"/>
      </w:pPr>
      <w:r>
        <w:t xml:space="preserve"/>
      </w:r>
    </w:p>
    <w:p>
      <w:pPr>
        <w:pStyle w:val="Heading1"/>
        <w:spacing w:after="120" w:before="360"/>
      </w:pPr>
      <w:r>
        <w:rPr>
          <w:rFonts w:ascii="Arial" w:cs="Arial" w:eastAsia="Arial" w:hAnsi="Arial"/>
          <w:b/>
          <w:bCs/>
          <w:color w:val="1A5276"/>
          <w:sz w:val="32"/>
          <w:szCs w:val="32"/>
        </w:rPr>
        <w:t xml:space="preserve">1. Contexto: qué es este programa y qué espera Google</w:t>
      </w:r>
    </w:p>
    <w:p>
      <w:pPr>
        <w:spacing w:after="80" w:before="60"/>
      </w:pPr>
      <w:r>
        <w:rPr>
          <w:rFonts w:ascii="Arial" w:cs="Arial" w:eastAsia="Arial" w:hAnsi="Arial"/>
          <w:sz w:val="22"/>
          <w:szCs w:val="22"/>
        </w:rPr>
        <w:t xml:space="preserve">El AI News Business Program es una iniciativa de Google News Initiative ejecutada por Marktub, orientada a acelerar la adopción de IA en 80 medios de comunicación latinoamericanos. El programa se organiza en tres fases:</w:t>
      </w:r>
    </w:p>
    <w:p>
      <w:pPr>
        <w:pStyle w:val="ListParagraph"/>
        <w:numPr>
          <w:ilvl w:val="0"/>
          <w:numId w:val="2"/>
        </w:numPr>
        <w:spacing w:after="40" w:before="40"/>
      </w:pPr>
      <w:r>
        <w:rPr>
          <w:rFonts w:ascii="Arial" w:cs="Arial" w:eastAsia="Arial" w:hAnsi="Arial"/>
          <w:sz w:val="22"/>
          <w:szCs w:val="22"/>
        </w:rPr>
        <w:t xml:space="preserve">Training Labs (5 de mayo – 1 de julio): sesiones formativas por rol (C-Level, editorial y técnico).</w:t>
      </w:r>
    </w:p>
    <w:p>
      <w:pPr>
        <w:pStyle w:val="ListParagraph"/>
        <w:numPr>
          <w:ilvl w:val="0"/>
          <w:numId w:val="2"/>
        </w:numPr>
        <w:spacing w:after="40" w:before="40"/>
      </w:pPr>
      <w:r>
        <w:rPr>
          <w:rFonts w:ascii="Arial" w:cs="Arial" w:eastAsia="Arial" w:hAnsi="Arial"/>
          <w:sz w:val="22"/>
          <w:szCs w:val="22"/>
        </w:rPr>
        <w:t xml:space="preserve">Workshops de prototipado (8–17 de junio): trabajo 1vs1 para identificar un dolor real del medio y diseñar una solución.</w:t>
      </w:r>
    </w:p>
    <w:p>
      <w:pPr>
        <w:pStyle w:val="ListParagraph"/>
        <w:numPr>
          <w:ilvl w:val="0"/>
          <w:numId w:val="2"/>
        </w:numPr>
        <w:spacing w:after="40" w:before="40"/>
      </w:pPr>
      <w:r>
        <w:rPr>
          <w:rFonts w:ascii="Arial" w:cs="Arial" w:eastAsia="Arial" w:hAnsi="Arial"/>
          <w:sz w:val="22"/>
          <w:szCs w:val="22"/>
        </w:rPr>
        <w:t xml:space="preserve">Consultoría técnica (desde agosto): acompañamiento de IT Plexus (Brasil) para los proyectos seleccionados —aproximadamente la mitad de los 40 participantes por ciclo.</w:t>
      </w:r>
    </w:p>
    <w:p>
      <w:pPr>
        <w:spacing w:after="80" w:before="60"/>
      </w:pPr>
      <w:r>
        <w:rPr>
          <w:rFonts w:ascii="Arial" w:cs="Arial" w:eastAsia="Arial" w:hAnsi="Arial"/>
          <w:sz w:val="22"/>
          <w:szCs w:val="22"/>
        </w:rPr>
        <w:t xml:space="preserve"/>
      </w:r>
    </w:p>
    <w:p>
      <w:pPr>
        <w:spacing w:after="80" w:before="60"/>
      </w:pPr>
      <w:r>
        <w:rPr>
          <w:rFonts w:ascii="Arial" w:cs="Arial" w:eastAsia="Arial" w:hAnsi="Arial"/>
          <w:sz w:val="22"/>
          <w:szCs w:val="22"/>
        </w:rPr>
        <w:t xml:space="preserve">El entregable central es un Blueprint Técnico: un documento con objetivos, arquitectura propuesta, equipo responsable y OKRs. Ese blueprint es, precisamente, lo que hay que preparar para la reunión del lunes.</w:t>
      </w:r>
    </w:p>
    <w:p>
      <w:pPr>
        <w:spacing w:after="80" w:before="60"/>
      </w:pPr>
      <w:r>
        <w:rPr>
          <w:rFonts w:ascii="Arial" w:cs="Arial" w:eastAsia="Arial" w:hAnsi="Arial"/>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CCCCCC" w:sz="1"/>
              <w:left w:val="single" w:color="CCCCCC" w:sz="1"/>
              <w:bottom w:val="single" w:color="CCCCCC" w:sz="1"/>
              <w:right w:val="single" w:color="CCCCCC" w:sz="1"/>
            </w:tcBorders>
            <w:shd w:fill="D6EAF8" w:val="clear"/>
            <w:tcMar>
              <w:top w:type="dxa" w:w="100"/>
              <w:left w:type="dxa" w:w="140"/>
              <w:bottom w:type="dxa" w:w="60"/>
              <w:right w:type="dxa" w:w="140"/>
            </w:tcMar>
          </w:tcPr>
          <w:p>
            <w:pPr>
              <w:spacing w:after="40" w:before="40"/>
            </w:pPr>
            <w:r>
              <w:rPr>
                <w:rFonts w:ascii="Arial" w:cs="Arial" w:eastAsia="Arial" w:hAnsi="Arial"/>
                <w:b/>
                <w:bCs/>
                <w:color w:val="1A5276"/>
                <w:sz w:val="22"/>
                <w:szCs w:val="22"/>
              </w:rPr>
              <w:t xml:space="preserve">¿Qué evalúa Google para seleccionar proyectos?</w:t>
            </w:r>
          </w:p>
        </w:tc>
      </w:tr>
      <w:tr>
        <w:tc>
          <w:tcPr>
            <w:tcW w:type="dxa" w:w="9360"/>
            <w:tcBorders>
              <w:top w:val="single" w:color="CCCCCC" w:sz="1"/>
              <w:left w:val="single" w:color="CCCCCC" w:sz="1"/>
              <w:bottom w:val="single" w:color="CCCCCC" w:sz="1"/>
              <w:right w:val="single" w:color="CCCCCC" w:sz="1"/>
            </w:tcBorders>
            <w:shd w:fill="FDFEFE" w:val="clear"/>
            <w:tcMar>
              <w:top w:type="dxa" w:w="80"/>
              <w:left w:type="dxa" w:w="140"/>
              <w:bottom w:type="dxa" w:w="80"/>
              <w:right w:type="dxa" w:w="140"/>
            </w:tcMar>
          </w:tcPr>
          <w:p>
            <w:pPr>
              <w:spacing w:after="30" w:before="30"/>
            </w:pPr>
            <w:r>
              <w:rPr>
                <w:rFonts w:ascii="Arial" w:cs="Arial" w:eastAsia="Arial" w:hAnsi="Arial"/>
                <w:sz w:val="21"/>
                <w:szCs w:val="21"/>
              </w:rPr>
              <w:t xml:space="preserve">✓  Viabilidad técnica: que la solución pueda construirse con el stack del medio</w:t>
            </w:r>
          </w:p>
        </w:tc>
      </w:tr>
      <w:tr>
        <w:tc>
          <w:tcPr>
            <w:tcW w:type="dxa" w:w="9360"/>
            <w:tcBorders>
              <w:top w:val="single" w:color="CCCCCC" w:sz="1"/>
              <w:left w:val="single" w:color="CCCCCC" w:sz="1"/>
              <w:bottom w:val="single" w:color="CCCCCC" w:sz="1"/>
              <w:right w:val="single" w:color="CCCCCC" w:sz="1"/>
            </w:tcBorders>
            <w:shd w:fill="FDFEFE" w:val="clear"/>
            <w:tcMar>
              <w:top w:type="dxa" w:w="80"/>
              <w:left w:type="dxa" w:w="140"/>
              <w:bottom w:type="dxa" w:w="80"/>
              <w:right w:type="dxa" w:w="140"/>
            </w:tcMar>
          </w:tcPr>
          <w:p>
            <w:pPr>
              <w:spacing w:after="30" w:before="30"/>
            </w:pPr>
            <w:r>
              <w:rPr>
                <w:rFonts w:ascii="Arial" w:cs="Arial" w:eastAsia="Arial" w:hAnsi="Arial"/>
                <w:sz w:val="21"/>
                <w:szCs w:val="21"/>
              </w:rPr>
              <w:t xml:space="preserve">✓  Impacto medible: mejora en eficiencia, alcance, monetización o calidad editorial</w:t>
            </w:r>
          </w:p>
        </w:tc>
      </w:tr>
      <w:tr>
        <w:tc>
          <w:tcPr>
            <w:tcW w:type="dxa" w:w="9360"/>
            <w:tcBorders>
              <w:top w:val="single" w:color="CCCCCC" w:sz="1"/>
              <w:left w:val="single" w:color="CCCCCC" w:sz="1"/>
              <w:bottom w:val="single" w:color="CCCCCC" w:sz="1"/>
              <w:right w:val="single" w:color="CCCCCC" w:sz="1"/>
            </w:tcBorders>
            <w:shd w:fill="FDFEFE" w:val="clear"/>
            <w:tcMar>
              <w:top w:type="dxa" w:w="80"/>
              <w:left w:type="dxa" w:w="140"/>
              <w:bottom w:type="dxa" w:w="80"/>
              <w:right w:type="dxa" w:w="140"/>
            </w:tcMar>
          </w:tcPr>
          <w:p>
            <w:pPr>
              <w:spacing w:after="30" w:before="30"/>
            </w:pPr>
            <w:r>
              <w:rPr>
                <w:rFonts w:ascii="Arial" w:cs="Arial" w:eastAsia="Arial" w:hAnsi="Arial"/>
                <w:sz w:val="21"/>
                <w:szCs w:val="21"/>
              </w:rPr>
              <w:t xml:space="preserve">✓  Claridad del problema: un dolor real del medio, no una solución en busca de problema</w:t>
            </w:r>
          </w:p>
        </w:tc>
      </w:tr>
      <w:tr>
        <w:tc>
          <w:tcPr>
            <w:tcW w:type="dxa" w:w="9360"/>
            <w:tcBorders>
              <w:top w:val="single" w:color="CCCCCC" w:sz="1"/>
              <w:left w:val="single" w:color="CCCCCC" w:sz="1"/>
              <w:bottom w:val="single" w:color="CCCCCC" w:sz="1"/>
              <w:right w:val="single" w:color="CCCCCC" w:sz="1"/>
            </w:tcBorders>
            <w:shd w:fill="FDFEFE" w:val="clear"/>
            <w:tcMar>
              <w:top w:type="dxa" w:w="80"/>
              <w:left w:type="dxa" w:w="140"/>
              <w:bottom w:type="dxa" w:w="80"/>
              <w:right w:type="dxa" w:w="140"/>
            </w:tcMar>
          </w:tcPr>
          <w:p>
            <w:pPr>
              <w:spacing w:after="30" w:before="30"/>
            </w:pPr>
            <w:r>
              <w:rPr>
                <w:rFonts w:ascii="Arial" w:cs="Arial" w:eastAsia="Arial" w:hAnsi="Arial"/>
                <w:sz w:val="21"/>
                <w:szCs w:val="21"/>
              </w:rPr>
              <w:t xml:space="preserve">✓  Equipo comprometido: al menos 3–5 personas activas entre perfiles técnicos y editoriales</w:t>
            </w:r>
          </w:p>
        </w:tc>
      </w:tr>
    </w:tbl>
    <w:p>
      <w:pPr>
        <w:spacing w:after="80" w:before="60"/>
      </w:pPr>
      <w:r>
        <w:rPr>
          <w:rFonts w:ascii="Arial" w:cs="Arial" w:eastAsia="Arial" w:hAnsi="Arial"/>
          <w:sz w:val="22"/>
          <w:szCs w:val="22"/>
        </w:rPr>
        <w:t xml:space="preserve"/>
      </w:r>
    </w:p>
    <w:p>
      <w:pPr>
        <w:pStyle w:val="Heading1"/>
        <w:spacing w:after="120" w:before="360"/>
      </w:pPr>
      <w:r>
        <w:rPr>
          <w:rFonts w:ascii="Arial" w:cs="Arial" w:eastAsia="Arial" w:hAnsi="Arial"/>
          <w:b/>
          <w:bCs/>
          <w:color w:val="1A5276"/>
          <w:sz w:val="32"/>
          <w:szCs w:val="32"/>
        </w:rPr>
        <w:t xml:space="preserve">2. Síntesis de sesiones: lo más relevante por track</w:t>
      </w:r>
    </w:p>
    <w:p>
      <w:pPr>
        <w:pBdr>
          <w:bottom w:val="single" w:color="2E86C1" w:sz="6" w:space="1"/>
        </w:pBdr>
        <w:spacing w:after="120" w:before="120"/>
      </w:pPr>
      <w:r>
        <w:t xml:space="preserve"/>
      </w:r>
    </w:p>
    <w:p>
      <w:pPr>
        <w:pStyle w:val="Heading2"/>
        <w:spacing w:after="80" w:before="280"/>
      </w:pPr>
      <w:r>
        <w:rPr>
          <w:rFonts w:ascii="Arial" w:cs="Arial" w:eastAsia="Arial" w:hAnsi="Arial"/>
          <w:b/>
          <w:bCs/>
          <w:color w:val="2E86C1"/>
          <w:sz w:val="26"/>
          <w:szCs w:val="26"/>
        </w:rPr>
        <w:t xml:space="preserve">Track Técnico (5 sesiones)</w:t>
      </w:r>
    </w:p>
    <w:p>
      <w:pPr>
        <w:spacing w:after="60" w:before="200"/>
      </w:pPr>
      <w:r>
        <w:rPr>
          <w:rFonts w:ascii="Arial" w:cs="Arial" w:eastAsia="Arial" w:hAnsi="Arial"/>
          <w:b/>
          <w:bCs/>
          <w:color w:val="333333"/>
          <w:sz w:val="22"/>
          <w:szCs w:val="22"/>
        </w:rPr>
        <w:t xml:space="preserve">S1 — Fundamentos de Cloud y FinOps (21 mayo)</w:t>
      </w:r>
    </w:p>
    <w:p>
      <w:pPr>
        <w:spacing w:after="80" w:before="60"/>
      </w:pPr>
      <w:r>
        <w:rPr>
          <w:rFonts w:ascii="Arial" w:cs="Arial" w:eastAsia="Arial" w:hAnsi="Arial"/>
          <w:sz w:val="22"/>
          <w:szCs w:val="22"/>
        </w:rPr>
        <w:t xml:space="preserve">Introducción a Google Cloud: diferencias entre SaaS, PaaS e IaaS, y por qué Cloud Run es la unidad de despliegue recomendada para servicios IA. Se trabajó un ejercicio de diseño de arquitectura conectando un agente con la API de Gemini usando Cloud Run, Secret Manager y Cloud SQL. Se incorporó una capa de FinOps: etiquetado de recursos desde el día 1, dashboards de costos por área y alertas de presupuesto al 50/80/100%.</w:t>
      </w:r>
    </w:p>
    <w:p>
      <w:pPr>
        <w:spacing w:after="80" w:before="60"/>
      </w:pPr>
      <w:r>
        <w:rPr>
          <w:rFonts w:ascii="Arial" w:cs="Arial" w:eastAsia="Arial" w:hAnsi="Arial"/>
          <w:i/>
          <w:iCs/>
          <w:color w:val="555555"/>
          <w:sz w:val="22"/>
          <w:szCs w:val="22"/>
        </w:rPr>
        <w:t xml:space="preserve">Concepto clave: pensar los proyectos de IA como productos con costos variables que hay que medir desde el arranque, no después.</w:t>
      </w:r>
    </w:p>
    <w:p>
      <w:pPr>
        <w:spacing w:after="60" w:before="200"/>
      </w:pPr>
      <w:r>
        <w:rPr>
          <w:rFonts w:ascii="Arial" w:cs="Arial" w:eastAsia="Arial" w:hAnsi="Arial"/>
          <w:b/>
          <w:bCs/>
          <w:color w:val="333333"/>
          <w:sz w:val="22"/>
          <w:szCs w:val="22"/>
        </w:rPr>
        <w:t xml:space="preserve">S2 — Fundamentos de IA y Seguridad (28 mayo)</w:t>
      </w:r>
    </w:p>
    <w:p>
      <w:pPr>
        <w:spacing w:after="80" w:before="60"/>
      </w:pPr>
      <w:r>
        <w:rPr>
          <w:rFonts w:ascii="Arial" w:cs="Arial" w:eastAsia="Arial" w:hAnsi="Arial"/>
          <w:sz w:val="22"/>
          <w:szCs w:val="22"/>
        </w:rPr>
        <w:t xml:space="preserve">Cómo los LLMs procesan la información (tokens, temperatura, ventana de contexto) y cómo eso afecta costos y calidad. Seguridad aplicada: nunca poner API keys ni datos sensibles en prompts, usar Secret Manager, controlar permisos por proyecto.</w:t>
      </w:r>
    </w:p>
    <w:p>
      <w:pPr>
        <w:spacing w:after="60" w:before="200"/>
      </w:pPr>
      <w:r>
        <w:rPr>
          <w:rFonts w:ascii="Arial" w:cs="Arial" w:eastAsia="Arial" w:hAnsi="Arial"/>
          <w:b/>
          <w:bCs/>
          <w:color w:val="333333"/>
          <w:sz w:val="22"/>
          <w:szCs w:val="22"/>
        </w:rPr>
        <w:t xml:space="preserve">S3 — Productividad con Vibe Coding (4 junio)</w:t>
      </w:r>
    </w:p>
    <w:p>
      <w:pPr>
        <w:spacing w:after="80" w:before="60"/>
      </w:pPr>
      <w:r>
        <w:rPr>
          <w:rFonts w:ascii="Arial" w:cs="Arial" w:eastAsia="Arial" w:hAnsi="Arial"/>
          <w:sz w:val="22"/>
          <w:szCs w:val="22"/>
        </w:rPr>
        <w:t xml:space="preserve">Presentación de Antigravity (plataforma de agentes de código) y el concepto de 'bytecoding': escribir código con instrucciones en lenguaje natural dirigidas por intención, evidencia y revisión. Diferencia entre skills semánticas (prompts) y skills nativas (scripts en Python). Casos de uso en redacción: scrapers de datos, dashboards internos, pipelines de transcripción audio-texto, manual de estilo como skill reutilizable.</w:t>
      </w:r>
    </w:p>
    <w:p>
      <w:pPr>
        <w:spacing w:after="80" w:before="60"/>
      </w:pPr>
      <w:r>
        <w:rPr>
          <w:rFonts w:ascii="Arial" w:cs="Arial" w:eastAsia="Arial" w:hAnsi="Arial"/>
          <w:i/>
          <w:iCs/>
          <w:color w:val="555555"/>
          <w:sz w:val="22"/>
          <w:szCs w:val="22"/>
        </w:rPr>
        <w:t xml:space="preserve">Advertencia relevante: el código generado por IA requiere los mismos controles que el tradicional: tests, linters, CI. Los modelos pueden 'alucinar' librerías inexistentes.</w:t>
      </w:r>
    </w:p>
    <w:p>
      <w:pPr>
        <w:spacing w:after="60" w:before="200"/>
      </w:pPr>
      <w:r>
        <w:rPr>
          <w:rFonts w:ascii="Arial" w:cs="Arial" w:eastAsia="Arial" w:hAnsi="Arial"/>
          <w:b/>
          <w:bCs/>
          <w:color w:val="333333"/>
          <w:sz w:val="22"/>
          <w:szCs w:val="22"/>
        </w:rPr>
        <w:t xml:space="preserve">S4 — Cómo lograr que el LLM responda lo que quiero (18 junio)</w:t>
      </w:r>
    </w:p>
    <w:p>
      <w:pPr>
        <w:spacing w:after="80" w:before="60"/>
      </w:pPr>
      <w:r>
        <w:rPr>
          <w:rFonts w:ascii="Arial" w:cs="Arial" w:eastAsia="Arial" w:hAnsi="Arial"/>
          <w:sz w:val="22"/>
          <w:szCs w:val="22"/>
        </w:rPr>
        <w:t xml:space="preserve">Sesión más directamente aplicable al Blueprint. Se presentó un árbol de decisión:</w:t>
      </w:r>
    </w:p>
    <w:p>
      <w:pPr>
        <w:pStyle w:val="ListParagraph"/>
        <w:numPr>
          <w:ilvl w:val="0"/>
          <w:numId w:val="2"/>
        </w:numPr>
        <w:spacing w:after="40" w:before="40"/>
      </w:pPr>
      <w:r>
        <w:rPr>
          <w:rFonts w:ascii="Arial" w:cs="Arial" w:eastAsia="Arial" w:hAnsi="Arial"/>
          <w:sz w:val="22"/>
          <w:szCs w:val="22"/>
        </w:rPr>
        <w:t xml:space="preserve">Prompts bien estructurados (metodología RCTF: rol, contexto, tarea, restricciones, formato): resuelve el 90% de los casos.</w:t>
      </w:r>
    </w:p>
    <w:p>
      <w:pPr>
        <w:pStyle w:val="ListParagraph"/>
        <w:numPr>
          <w:ilvl w:val="0"/>
          <w:numId w:val="2"/>
        </w:numPr>
        <w:spacing w:after="40" w:before="40"/>
      </w:pPr>
      <w:r>
        <w:rPr>
          <w:rFonts w:ascii="Arial" w:cs="Arial" w:eastAsia="Arial" w:hAnsi="Arial"/>
          <w:sz w:val="22"/>
          <w:szCs w:val="22"/>
        </w:rPr>
        <w:t xml:space="preserve">RAG (Retrieval Augmented Generation): para inyectar conocimiento propio actualizable sin reentrenar el modelo. Ideal para guías de estilo, archivos históricos, bases de datos de fuentes.</w:t>
      </w:r>
    </w:p>
    <w:p>
      <w:pPr>
        <w:pStyle w:val="ListParagraph"/>
        <w:numPr>
          <w:ilvl w:val="0"/>
          <w:numId w:val="2"/>
        </w:numPr>
        <w:spacing w:after="40" w:before="40"/>
      </w:pPr>
      <w:r>
        <w:rPr>
          <w:rFonts w:ascii="Arial" w:cs="Arial" w:eastAsia="Arial" w:hAnsi="Arial"/>
          <w:sz w:val="22"/>
          <w:szCs w:val="22"/>
        </w:rPr>
        <w:t xml:space="preserve">Fine-tuning (LoRa sobre Vertex AI): solo cuando hay suficientes ejemplos repetitivos (mínimo 50–100) y se busca imponer un patrón textual estable.</w:t>
      </w:r>
    </w:p>
    <w:p>
      <w:pPr>
        <w:spacing w:after="80" w:before="60"/>
      </w:pPr>
      <w:r>
        <w:rPr>
          <w:rFonts w:ascii="Arial" w:cs="Arial" w:eastAsia="Arial" w:hAnsi="Arial"/>
          <w:i/>
          <w:iCs/>
          <w:color w:val="555555"/>
          <w:sz w:val="22"/>
          <w:szCs w:val="22"/>
        </w:rPr>
        <w:t xml:space="preserve">En producción, la combinación más común es: base fine-tuneada + RAG para datos dinámicos.</w:t>
      </w:r>
    </w:p>
    <w:p>
      <w:pPr>
        <w:spacing w:after="80" w:before="60"/>
      </w:pPr>
      <w:r>
        <w:rPr>
          <w:rFonts w:ascii="Arial" w:cs="Arial" w:eastAsia="Arial" w:hAnsi="Arial"/>
          <w:sz w:val="22"/>
          <w:szCs w:val="22"/>
        </w:rPr>
        <w:t xml:space="preserve"/>
      </w:r>
    </w:p>
    <w:p>
      <w:pPr>
        <w:pStyle w:val="Heading2"/>
        <w:spacing w:after="80" w:before="280"/>
      </w:pPr>
      <w:r>
        <w:rPr>
          <w:rFonts w:ascii="Arial" w:cs="Arial" w:eastAsia="Arial" w:hAnsi="Arial"/>
          <w:b/>
          <w:bCs/>
          <w:color w:val="2E86C1"/>
          <w:sz w:val="26"/>
          <w:szCs w:val="26"/>
        </w:rPr>
        <w:t xml:space="preserve">Track Editorial (3 sesiones disponibles)</w:t>
      </w:r>
    </w:p>
    <w:p>
      <w:pPr>
        <w:spacing w:after="60" w:before="200"/>
      </w:pPr>
      <w:r>
        <w:rPr>
          <w:rFonts w:ascii="Arial" w:cs="Arial" w:eastAsia="Arial" w:hAnsi="Arial"/>
          <w:b/>
          <w:bCs/>
          <w:color w:val="333333"/>
          <w:sz w:val="22"/>
          <w:szCs w:val="22"/>
        </w:rPr>
        <w:t xml:space="preserve">S1 — Mindset: del lobo solitario al nodo colaborativo</w:t>
      </w:r>
    </w:p>
    <w:p>
      <w:pPr>
        <w:spacing w:after="80" w:before="60"/>
      </w:pPr>
      <w:r>
        <w:rPr>
          <w:rFonts w:ascii="Arial" w:cs="Arial" w:eastAsia="Arial" w:hAnsi="Arial"/>
          <w:sz w:val="22"/>
          <w:szCs w:val="22"/>
        </w:rPr>
        <w:t xml:space="preserve">Diagnóstico del estado actual de los medios: artículos textuales sin diferenciación, déficit de video, fragmentación de marca, pérdida de datos de audiencia. La confianza en noticias en América Latina está alrededor del 36% y la tasa de suscripción no llega al 18%.</w:t>
      </w:r>
    </w:p>
    <w:p>
      <w:pPr>
        <w:spacing w:after="80" w:before="60"/>
      </w:pPr>
      <w:r>
        <w:rPr>
          <w:rFonts w:ascii="Arial" w:cs="Arial" w:eastAsia="Arial" w:hAnsi="Arial"/>
          <w:sz w:val="22"/>
          <w:szCs w:val="22"/>
        </w:rPr>
        <w:t xml:space="preserve">Implementaciones concretas citadas como referencia: corrector interno con Copilot ajustado al manual de estilo, buscador de imágenes por IA (devuelve ID reutilizable), asistente de artículos complementarios integrado al CMS, análisis del discurso político con dashboards editoriales.</w:t>
      </w:r>
    </w:p>
    <w:p>
      <w:pPr>
        <w:spacing w:after="80" w:before="60"/>
      </w:pPr>
      <w:r>
        <w:rPr>
          <w:rFonts w:ascii="Arial" w:cs="Arial" w:eastAsia="Arial" w:hAnsi="Arial"/>
          <w:i/>
          <w:iCs/>
          <w:color w:val="555555"/>
          <w:sz w:val="22"/>
          <w:szCs w:val="22"/>
        </w:rPr>
        <w:t xml:space="preserve">Principio rector del programa: 'Enhance Not Replace' — la IA asiste, el periodista decide y firma.</w:t>
      </w:r>
    </w:p>
    <w:p>
      <w:pPr>
        <w:spacing w:after="60" w:before="200"/>
      </w:pPr>
      <w:r>
        <w:rPr>
          <w:rFonts w:ascii="Arial" w:cs="Arial" w:eastAsia="Arial" w:hAnsi="Arial"/>
          <w:b/>
          <w:bCs/>
          <w:color w:val="333333"/>
          <w:sz w:val="22"/>
          <w:szCs w:val="22"/>
        </w:rPr>
        <w:t xml:space="preserve">S2 — Ingeniería de instrucciones y stack diario</w:t>
      </w:r>
    </w:p>
    <w:p>
      <w:pPr>
        <w:spacing w:after="80" w:before="60"/>
      </w:pPr>
      <w:r>
        <w:rPr>
          <w:rFonts w:ascii="Arial" w:cs="Arial" w:eastAsia="Arial" w:hAnsi="Arial"/>
          <w:sz w:val="22"/>
          <w:szCs w:val="22"/>
        </w:rPr>
        <w:t xml:space="preserve">Fundamentos de prompting con metodología RCTF, few-shot y Chain of Thought. Herramientas del ecosistema Google: Gemini (acceso web en tiempo real, análisis de archivos), Notebook LM (PDFs, hojas de cálculo, audios con respuestas citadas), Pinpoint (minería en colecciones grandes con filtros por fecha, persona, organización). Se alertó sobre alucinaciones: temperatura baja para tareas de fidelidad (sentencias judiciales, datos), alta para creatividad.</w:t>
      </w:r>
    </w:p>
    <w:p>
      <w:pPr>
        <w:spacing w:after="60" w:before="200"/>
      </w:pPr>
      <w:r>
        <w:rPr>
          <w:rFonts w:ascii="Arial" w:cs="Arial" w:eastAsia="Arial" w:hAnsi="Arial"/>
          <w:b/>
          <w:bCs/>
          <w:color w:val="333333"/>
          <w:sz w:val="22"/>
          <w:szCs w:val="22"/>
        </w:rPr>
        <w:t xml:space="preserve">S3 — Narrativas visuales y generación multimodal</w:t>
      </w:r>
    </w:p>
    <w:p>
      <w:pPr>
        <w:spacing w:after="80" w:before="60"/>
      </w:pPr>
      <w:r>
        <w:rPr>
          <w:rFonts w:ascii="Arial" w:cs="Arial" w:eastAsia="Arial" w:hAnsi="Arial"/>
          <w:sz w:val="22"/>
          <w:szCs w:val="22"/>
        </w:rPr>
        <w:t xml:space="preserve">Técnicas de prompting para imagen (seis capas: sujeto, acción, estado emocional, contexto, composición, treatment), video (Veo, secuencias con movimientos de cámara) y audio (Lyria, parámetros de tempo y mood). Marco ético: guardarraíles sobre figuras públicas, contenido violento y trazabilidad con Cynthia ID. Checklist editorial de 10 preguntas antes de publicar una imagen generada por IA.</w:t>
      </w:r>
    </w:p>
    <w:p>
      <w:pPr>
        <w:spacing w:after="80" w:before="60"/>
      </w:pPr>
      <w:r>
        <w:rPr>
          <w:rFonts w:ascii="Arial" w:cs="Arial" w:eastAsia="Arial" w:hAnsi="Arial"/>
          <w:sz w:val="22"/>
          <w:szCs w:val="22"/>
        </w:rPr>
        <w:t xml:space="preserve"/>
      </w:r>
    </w:p>
    <w:p>
      <w:pPr>
        <w:pBdr>
          <w:bottom w:val="single" w:color="2E86C1" w:sz="6" w:space="1"/>
        </w:pBdr>
        <w:spacing w:after="120" w:before="120"/>
      </w:pPr>
      <w:r>
        <w:t xml:space="preserve"/>
      </w:r>
    </w:p>
    <w:p>
      <w:pPr>
        <w:pStyle w:val="Heading1"/>
        <w:spacing w:after="120" w:before="360"/>
      </w:pPr>
      <w:r>
        <w:rPr>
          <w:rFonts w:ascii="Arial" w:cs="Arial" w:eastAsia="Arial" w:hAnsi="Arial"/>
          <w:b/>
          <w:bCs/>
          <w:color w:val="1A5276"/>
          <w:sz w:val="32"/>
          <w:szCs w:val="32"/>
        </w:rPr>
        <w:t xml:space="preserve">3. Tu CRM: ¿escalarlo o bajarlo?</w:t>
      </w:r>
    </w:p>
    <w:p>
      <w:pPr>
        <w:spacing w:after="80" w:before="60"/>
      </w:pPr>
      <w:r>
        <w:rPr>
          <w:rFonts w:ascii="Arial" w:cs="Arial" w:eastAsia="Arial" w:hAnsi="Arial"/>
          <w:sz w:val="22"/>
          <w:szCs w:val="22"/>
        </w:rPr>
        <w:t xml:space="preserve">La pregunta es pertinente y la respuesta matizada: no lo bajaría, pero sí habría que reenmarcarlo para que sea periodísticamente sólido.</w:t>
      </w:r>
    </w:p>
    <w:p>
      <w:pPr>
        <w:spacing w:after="80" w:before="60"/>
      </w:pPr>
      <w:r>
        <w:rPr>
          <w:rFonts w:ascii="Arial" w:cs="Arial" w:eastAsia="Arial" w:hAnsi="Arial"/>
          <w:sz w:val="22"/>
          <w:szCs w:val="22"/>
        </w:rPr>
        <w:t xml:space="preserve"/>
      </w:r>
    </w:p>
    <w:p>
      <w:pPr>
        <w:spacing w:after="80" w:before="60"/>
      </w:pPr>
      <w:r>
        <w:rPr>
          <w:rFonts w:ascii="Arial" w:cs="Arial" w:eastAsia="Arial" w:hAnsi="Arial"/>
          <w:sz w:val="22"/>
          <w:szCs w:val="22"/>
        </w:rPr>
        <w:t xml:space="preserve">Un CRM tiene mala prensa en redacciones porque se asocia a lógica de ventas, no de periodismo. Sin embargo, lo que el programa llama 'conocimiento de audiencia' es exactamente eso: datos sobre quién lee qué, en qué momento y con qué intención. La diferencia está en cómo se usa esa información.</w:t>
      </w:r>
    </w:p>
    <w:p>
      <w:pPr>
        <w:spacing w:after="80" w:before="60"/>
      </w:pPr>
      <w:r>
        <w:rPr>
          <w:rFonts w:ascii="Arial" w:cs="Arial" w:eastAsia="Arial" w:hAnsi="Arial"/>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CCCCCC" w:sz="1"/>
              <w:left w:val="single" w:color="CCCCCC" w:sz="1"/>
              <w:bottom w:val="single" w:color="CCCCCC" w:sz="1"/>
              <w:right w:val="single" w:color="CCCCCC" w:sz="1"/>
            </w:tcBorders>
            <w:shd w:fill="D6EAF8" w:val="clear"/>
            <w:tcMar>
              <w:top w:type="dxa" w:w="100"/>
              <w:left w:type="dxa" w:w="140"/>
              <w:bottom w:type="dxa" w:w="60"/>
              <w:right w:type="dxa" w:w="140"/>
            </w:tcMar>
          </w:tcPr>
          <w:p>
            <w:pPr>
              <w:spacing w:after="40" w:before="40"/>
            </w:pPr>
            <w:r>
              <w:rPr>
                <w:rFonts w:ascii="Arial" w:cs="Arial" w:eastAsia="Arial" w:hAnsi="Arial"/>
                <w:b/>
                <w:bCs/>
                <w:color w:val="1A5276"/>
                <w:sz w:val="22"/>
                <w:szCs w:val="22"/>
              </w:rPr>
              <w:t xml:space="preserve">Cuándo un CRM es periodísticamente válido</w:t>
            </w:r>
          </w:p>
        </w:tc>
      </w:tr>
      <w:tr>
        <w:tc>
          <w:tcPr>
            <w:tcW w:type="dxa" w:w="9360"/>
            <w:tcBorders>
              <w:top w:val="single" w:color="CCCCCC" w:sz="1"/>
              <w:left w:val="single" w:color="CCCCCC" w:sz="1"/>
              <w:bottom w:val="single" w:color="CCCCCC" w:sz="1"/>
              <w:right w:val="single" w:color="CCCCCC" w:sz="1"/>
            </w:tcBorders>
            <w:shd w:fill="FDFEFE" w:val="clear"/>
            <w:tcMar>
              <w:top w:type="dxa" w:w="80"/>
              <w:left w:type="dxa" w:w="140"/>
              <w:bottom w:type="dxa" w:w="80"/>
              <w:right w:type="dxa" w:w="140"/>
            </w:tcMar>
          </w:tcPr>
          <w:p>
            <w:pPr>
              <w:spacing w:after="30" w:before="30"/>
            </w:pPr>
            <w:r>
              <w:rPr>
                <w:rFonts w:ascii="Arial" w:cs="Arial" w:eastAsia="Arial" w:hAnsi="Arial"/>
                <w:sz w:val="21"/>
                <w:szCs w:val="21"/>
              </w:rPr>
              <w:t xml:space="preserve">→  Si sirve para entender qué temas generan engagement genuino (no solo clics)</w:t>
            </w:r>
          </w:p>
        </w:tc>
      </w:tr>
      <w:tr>
        <w:tc>
          <w:tcPr>
            <w:tcW w:type="dxa" w:w="9360"/>
            <w:tcBorders>
              <w:top w:val="single" w:color="CCCCCC" w:sz="1"/>
              <w:left w:val="single" w:color="CCCCCC" w:sz="1"/>
              <w:bottom w:val="single" w:color="CCCCCC" w:sz="1"/>
              <w:right w:val="single" w:color="CCCCCC" w:sz="1"/>
            </w:tcBorders>
            <w:shd w:fill="FDFEFE" w:val="clear"/>
            <w:tcMar>
              <w:top w:type="dxa" w:w="80"/>
              <w:left w:type="dxa" w:w="140"/>
              <w:bottom w:type="dxa" w:w="80"/>
              <w:right w:type="dxa" w:w="140"/>
            </w:tcMar>
          </w:tcPr>
          <w:p>
            <w:pPr>
              <w:spacing w:after="30" w:before="30"/>
            </w:pPr>
            <w:r>
              <w:rPr>
                <w:rFonts w:ascii="Arial" w:cs="Arial" w:eastAsia="Arial" w:hAnsi="Arial"/>
                <w:sz w:val="21"/>
                <w:szCs w:val="21"/>
              </w:rPr>
              <w:t xml:space="preserve">→  Si ayuda a identificar suscriptores en riesgo de churn para ofrecerles contenido relevante</w:t>
            </w:r>
          </w:p>
        </w:tc>
      </w:tr>
      <w:tr>
        <w:tc>
          <w:tcPr>
            <w:tcW w:type="dxa" w:w="9360"/>
            <w:tcBorders>
              <w:top w:val="single" w:color="CCCCCC" w:sz="1"/>
              <w:left w:val="single" w:color="CCCCCC" w:sz="1"/>
              <w:bottom w:val="single" w:color="CCCCCC" w:sz="1"/>
              <w:right w:val="single" w:color="CCCCCC" w:sz="1"/>
            </w:tcBorders>
            <w:shd w:fill="FDFEFE" w:val="clear"/>
            <w:tcMar>
              <w:top w:type="dxa" w:w="80"/>
              <w:left w:type="dxa" w:w="140"/>
              <w:bottom w:type="dxa" w:w="80"/>
              <w:right w:type="dxa" w:w="140"/>
            </w:tcMar>
          </w:tcPr>
          <w:p>
            <w:pPr>
              <w:spacing w:after="30" w:before="30"/>
            </w:pPr>
            <w:r>
              <w:rPr>
                <w:rFonts w:ascii="Arial" w:cs="Arial" w:eastAsia="Arial" w:hAnsi="Arial"/>
                <w:sz w:val="21"/>
                <w:szCs w:val="21"/>
              </w:rPr>
              <w:t xml:space="preserve">→  Si permite personalizar newsletters sin automatizar la creación del contenido en sí</w:t>
            </w:r>
          </w:p>
        </w:tc>
      </w:tr>
      <w:tr>
        <w:tc>
          <w:tcPr>
            <w:tcW w:type="dxa" w:w="9360"/>
            <w:tcBorders>
              <w:top w:val="single" w:color="CCCCCC" w:sz="1"/>
              <w:left w:val="single" w:color="CCCCCC" w:sz="1"/>
              <w:bottom w:val="single" w:color="CCCCCC" w:sz="1"/>
              <w:right w:val="single" w:color="CCCCCC" w:sz="1"/>
            </w:tcBorders>
            <w:shd w:fill="FDFEFE" w:val="clear"/>
            <w:tcMar>
              <w:top w:type="dxa" w:w="80"/>
              <w:left w:type="dxa" w:w="140"/>
              <w:bottom w:type="dxa" w:w="80"/>
              <w:right w:type="dxa" w:w="140"/>
            </w:tcMar>
          </w:tcPr>
          <w:p>
            <w:pPr>
              <w:spacing w:after="30" w:before="30"/>
            </w:pPr>
            <w:r>
              <w:rPr>
                <w:rFonts w:ascii="Arial" w:cs="Arial" w:eastAsia="Arial" w:hAnsi="Arial"/>
                <w:sz w:val="21"/>
                <w:szCs w:val="21"/>
              </w:rPr>
              <w:t xml:space="preserve">→  Si los datos quedan dentro del medio (no se venden ni se comparten con terceros)</w:t>
            </w:r>
          </w:p>
        </w:tc>
      </w:tr>
    </w:tbl>
    <w:p>
      <w:pPr>
        <w:spacing w:after="80" w:before="60"/>
      </w:pPr>
      <w:r>
        <w:rPr>
          <w:rFonts w:ascii="Arial" w:cs="Arial" w:eastAsia="Arial" w:hAnsi="Arial"/>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CCCCCC" w:sz="1"/>
              <w:left w:val="single" w:color="CCCCCC" w:sz="1"/>
              <w:bottom w:val="single" w:color="CCCCCC" w:sz="1"/>
              <w:right w:val="single" w:color="CCCCCC" w:sz="1"/>
            </w:tcBorders>
            <w:shd w:fill="D6EAF8" w:val="clear"/>
            <w:tcMar>
              <w:top w:type="dxa" w:w="100"/>
              <w:left w:type="dxa" w:w="140"/>
              <w:bottom w:type="dxa" w:w="60"/>
              <w:right w:type="dxa" w:w="140"/>
            </w:tcMar>
          </w:tcPr>
          <w:p>
            <w:pPr>
              <w:spacing w:after="40" w:before="40"/>
            </w:pPr>
            <w:r>
              <w:rPr>
                <w:rFonts w:ascii="Arial" w:cs="Arial" w:eastAsia="Arial" w:hAnsi="Arial"/>
                <w:b/>
                <w:bCs/>
                <w:color w:val="1A5276"/>
                <w:sz w:val="22"/>
                <w:szCs w:val="22"/>
              </w:rPr>
              <w:t xml:space="preserve">Cuándo se vuelve poco periodístico</w:t>
            </w:r>
          </w:p>
        </w:tc>
      </w:tr>
      <w:tr>
        <w:tc>
          <w:tcPr>
            <w:tcW w:type="dxa" w:w="9360"/>
            <w:tcBorders>
              <w:top w:val="single" w:color="CCCCCC" w:sz="1"/>
              <w:left w:val="single" w:color="CCCCCC" w:sz="1"/>
              <w:bottom w:val="single" w:color="CCCCCC" w:sz="1"/>
              <w:right w:val="single" w:color="CCCCCC" w:sz="1"/>
            </w:tcBorders>
            <w:shd w:fill="FDFEFE" w:val="clear"/>
            <w:tcMar>
              <w:top w:type="dxa" w:w="80"/>
              <w:left w:type="dxa" w:w="140"/>
              <w:bottom w:type="dxa" w:w="80"/>
              <w:right w:type="dxa" w:w="140"/>
            </w:tcMar>
          </w:tcPr>
          <w:p>
            <w:pPr>
              <w:spacing w:after="30" w:before="30"/>
            </w:pPr>
            <w:r>
              <w:rPr>
                <w:rFonts w:ascii="Arial" w:cs="Arial" w:eastAsia="Arial" w:hAnsi="Arial"/>
                <w:sz w:val="21"/>
                <w:szCs w:val="21"/>
              </w:rPr>
              <w:t xml:space="preserve">✗  Si el CRM dicta la agenda editorial en función de métricas de consumo</w:t>
            </w:r>
          </w:p>
        </w:tc>
      </w:tr>
      <w:tr>
        <w:tc>
          <w:tcPr>
            <w:tcW w:type="dxa" w:w="9360"/>
            <w:tcBorders>
              <w:top w:val="single" w:color="CCCCCC" w:sz="1"/>
              <w:left w:val="single" w:color="CCCCCC" w:sz="1"/>
              <w:bottom w:val="single" w:color="CCCCCC" w:sz="1"/>
              <w:right w:val="single" w:color="CCCCCC" w:sz="1"/>
            </w:tcBorders>
            <w:shd w:fill="FDFEFE" w:val="clear"/>
            <w:tcMar>
              <w:top w:type="dxa" w:w="80"/>
              <w:left w:type="dxa" w:w="140"/>
              <w:bottom w:type="dxa" w:w="80"/>
              <w:right w:type="dxa" w:w="140"/>
            </w:tcMar>
          </w:tcPr>
          <w:p>
            <w:pPr>
              <w:spacing w:after="30" w:before="30"/>
            </w:pPr>
            <w:r>
              <w:rPr>
                <w:rFonts w:ascii="Arial" w:cs="Arial" w:eastAsia="Arial" w:hAnsi="Arial"/>
                <w:sz w:val="21"/>
                <w:szCs w:val="21"/>
              </w:rPr>
              <w:t xml:space="preserve">✗  Si genera perfiles de usuarios para segmentación publicitaria invasiva</w:t>
            </w:r>
          </w:p>
        </w:tc>
      </w:tr>
      <w:tr>
        <w:tc>
          <w:tcPr>
            <w:tcW w:type="dxa" w:w="9360"/>
            <w:tcBorders>
              <w:top w:val="single" w:color="CCCCCC" w:sz="1"/>
              <w:left w:val="single" w:color="CCCCCC" w:sz="1"/>
              <w:bottom w:val="single" w:color="CCCCCC" w:sz="1"/>
              <w:right w:val="single" w:color="CCCCCC" w:sz="1"/>
            </w:tcBorders>
            <w:shd w:fill="FDFEFE" w:val="clear"/>
            <w:tcMar>
              <w:top w:type="dxa" w:w="80"/>
              <w:left w:type="dxa" w:w="140"/>
              <w:bottom w:type="dxa" w:w="80"/>
              <w:right w:type="dxa" w:w="140"/>
            </w:tcMar>
          </w:tcPr>
          <w:p>
            <w:pPr>
              <w:spacing w:after="30" w:before="30"/>
            </w:pPr>
            <w:r>
              <w:rPr>
                <w:rFonts w:ascii="Arial" w:cs="Arial" w:eastAsia="Arial" w:hAnsi="Arial"/>
                <w:sz w:val="21"/>
                <w:szCs w:val="21"/>
              </w:rPr>
              <w:t xml:space="preserve">✗  Si automatiza el contenido sin firma ni supervisión humana</w:t>
            </w:r>
          </w:p>
        </w:tc>
      </w:tr>
    </w:tbl>
    <w:p>
      <w:pPr>
        <w:spacing w:after="80" w:before="60"/>
      </w:pPr>
      <w:r>
        <w:rPr>
          <w:rFonts w:ascii="Arial" w:cs="Arial" w:eastAsia="Arial" w:hAnsi="Arial"/>
          <w:sz w:val="22"/>
          <w:szCs w:val="22"/>
        </w:rPr>
        <w:t xml:space="preserve"/>
      </w:r>
    </w:p>
    <w:p>
      <w:pPr>
        <w:spacing w:after="80" w:before="60"/>
      </w:pPr>
      <w:r>
        <w:rPr>
          <w:rFonts w:ascii="Arial" w:cs="Arial" w:eastAsia="Arial" w:hAnsi="Arial"/>
          <w:sz w:val="22"/>
          <w:szCs w:val="22"/>
        </w:rPr>
        <w:t xml:space="preserve">Para escalarlo con IA, la propuesta más alineada con lo visto en el programa sería: añadir una capa RAG que conecte el comportamiento del usuario con el archivo de contenidos, y construir un motor de recomendación interno. Esto está en la línea de lo que un medio de referencia mostró en la sesión editorial: un asistente conversacional que sugiere artículos complementarios integrado al propio CMS, sin depender de plataformas externas.</w:t>
      </w:r>
    </w:p>
    <w:p>
      <w:pPr>
        <w:spacing w:after="80" w:before="60"/>
      </w:pPr>
      <w:r>
        <w:rPr>
          <w:rFonts w:ascii="Arial" w:cs="Arial" w:eastAsia="Arial" w:hAnsi="Arial"/>
          <w:sz w:val="22"/>
          <w:szCs w:val="22"/>
        </w:rPr>
        <w:t xml:space="preserve"/>
      </w:r>
    </w:p>
    <w:p>
      <w:pPr>
        <w:pBdr>
          <w:bottom w:val="single" w:color="2E86C1" w:sz="6" w:space="1"/>
        </w:pBdr>
        <w:spacing w:after="120" w:before="120"/>
      </w:pPr>
      <w:r>
        <w:t xml:space="preserve"/>
      </w:r>
    </w:p>
    <w:p>
      <w:pPr>
        <w:pStyle w:val="Heading1"/>
        <w:spacing w:after="120" w:before="360"/>
      </w:pPr>
      <w:r>
        <w:rPr>
          <w:rFonts w:ascii="Arial" w:cs="Arial" w:eastAsia="Arial" w:hAnsi="Arial"/>
          <w:b/>
          <w:bCs/>
          <w:color w:val="1A5276"/>
          <w:sz w:val="32"/>
          <w:szCs w:val="32"/>
        </w:rPr>
        <w:t xml:space="preserve">4. Ideas de proyecto para el Blueprint</w:t>
      </w:r>
    </w:p>
    <w:p>
      <w:pPr>
        <w:spacing w:after="80" w:before="60"/>
      </w:pPr>
      <w:r>
        <w:rPr>
          <w:rFonts w:ascii="Arial" w:cs="Arial" w:eastAsia="Arial" w:hAnsi="Arial"/>
          <w:sz w:val="22"/>
          <w:szCs w:val="22"/>
        </w:rPr>
        <w:t xml:space="preserve">A continuación, cinco propuestas concretas ordenadas por relación esfuerzo/impacto. Todas son viables con Google Cloud + Gemini API y stack técnico mediano.</w:t>
      </w:r>
    </w:p>
    <w:p>
      <w:pPr>
        <w:spacing w:after="80" w:before="60"/>
      </w:pPr>
      <w:r>
        <w:rPr>
          <w:rFonts w:ascii="Arial" w:cs="Arial" w:eastAsia="Arial" w:hAnsi="Arial"/>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500"/>
        <w:gridCol w:w="3500"/>
        <w:gridCol w:w="1800"/>
        <w:gridCol w:w="1560"/>
      </w:tblGrid>
      <w:tr>
        <w:trPr>
          <w:tblHeader/>
        </w:trPr>
        <w:tc>
          <w:tcPr>
            <w:tcW w:type="dxa" w:w="2500"/>
            <w:tcBorders>
              <w:top w:val="single" w:color="CCCCCC" w:sz="1"/>
              <w:left w:val="single" w:color="CCCCCC" w:sz="1"/>
              <w:bottom w:val="single" w:color="CCCCCC" w:sz="1"/>
              <w:right w:val="single" w:color="CCCCCC" w:sz="1"/>
            </w:tcBorders>
            <w:shd w:fill="1A5276" w:val="clear"/>
            <w:tcMar>
              <w:top w:type="dxa" w:w="80"/>
              <w:left w:type="dxa" w:w="100"/>
              <w:bottom w:type="dxa" w:w="80"/>
              <w:right w:type="dxa" w:w="100"/>
            </w:tcMar>
          </w:tcPr>
          <w:p>
            <w:r>
              <w:rPr>
                <w:rFonts w:ascii="Arial" w:cs="Arial" w:eastAsia="Arial" w:hAnsi="Arial"/>
                <w:b/>
                <w:bCs/>
                <w:color w:val="FFFFFF"/>
                <w:sz w:val="18"/>
                <w:szCs w:val="18"/>
              </w:rPr>
              <w:t xml:space="preserve">PROYECTO</w:t>
            </w:r>
          </w:p>
        </w:tc>
        <w:tc>
          <w:tcPr>
            <w:tcW w:type="dxa" w:w="3500"/>
            <w:tcBorders>
              <w:top w:val="single" w:color="CCCCCC" w:sz="1"/>
              <w:left w:val="single" w:color="CCCCCC" w:sz="1"/>
              <w:bottom w:val="single" w:color="CCCCCC" w:sz="1"/>
              <w:right w:val="single" w:color="CCCCCC" w:sz="1"/>
            </w:tcBorders>
            <w:shd w:fill="1A5276" w:val="clear"/>
            <w:tcMar>
              <w:top w:type="dxa" w:w="80"/>
              <w:left w:type="dxa" w:w="100"/>
              <w:bottom w:type="dxa" w:w="80"/>
              <w:right w:type="dxa" w:w="100"/>
            </w:tcMar>
          </w:tcPr>
          <w:p>
            <w:r>
              <w:rPr>
                <w:rFonts w:ascii="Arial" w:cs="Arial" w:eastAsia="Arial" w:hAnsi="Arial"/>
                <w:b/>
                <w:bCs/>
                <w:color w:val="FFFFFF"/>
                <w:sz w:val="18"/>
                <w:szCs w:val="18"/>
              </w:rPr>
              <w:t xml:space="preserve">DESCRIPCIÓN</w:t>
            </w:r>
          </w:p>
        </w:tc>
        <w:tc>
          <w:tcPr>
            <w:tcW w:type="dxa" w:w="1800"/>
            <w:tcBorders>
              <w:top w:val="single" w:color="CCCCCC" w:sz="1"/>
              <w:left w:val="single" w:color="CCCCCC" w:sz="1"/>
              <w:bottom w:val="single" w:color="CCCCCC" w:sz="1"/>
              <w:right w:val="single" w:color="CCCCCC" w:sz="1"/>
            </w:tcBorders>
            <w:shd w:fill="1A5276" w:val="clear"/>
            <w:tcMar>
              <w:top w:type="dxa" w:w="80"/>
              <w:left w:type="dxa" w:w="100"/>
              <w:bottom w:type="dxa" w:w="80"/>
              <w:right w:type="dxa" w:w="100"/>
            </w:tcMar>
          </w:tcPr>
          <w:p>
            <w:r>
              <w:rPr>
                <w:rFonts w:ascii="Arial" w:cs="Arial" w:eastAsia="Arial" w:hAnsi="Arial"/>
                <w:b/>
                <w:bCs/>
                <w:color w:val="FFFFFF"/>
                <w:sz w:val="18"/>
                <w:szCs w:val="18"/>
              </w:rPr>
              <w:t xml:space="preserve">DIFICULTAD TÉCNICA</w:t>
            </w:r>
          </w:p>
        </w:tc>
        <w:tc>
          <w:tcPr>
            <w:tcW w:type="dxa" w:w="1560"/>
            <w:tcBorders>
              <w:top w:val="single" w:color="CCCCCC" w:sz="1"/>
              <w:left w:val="single" w:color="CCCCCC" w:sz="1"/>
              <w:bottom w:val="single" w:color="CCCCCC" w:sz="1"/>
              <w:right w:val="single" w:color="CCCCCC" w:sz="1"/>
            </w:tcBorders>
            <w:shd w:fill="1A5276" w:val="clear"/>
            <w:tcMar>
              <w:top w:type="dxa" w:w="80"/>
              <w:left w:type="dxa" w:w="100"/>
              <w:bottom w:type="dxa" w:w="80"/>
              <w:right w:type="dxa" w:w="100"/>
            </w:tcMar>
          </w:tcPr>
          <w:p>
            <w:r>
              <w:rPr>
                <w:rFonts w:ascii="Arial" w:cs="Arial" w:eastAsia="Arial" w:hAnsi="Arial"/>
                <w:b/>
                <w:bCs/>
                <w:color w:val="FFFFFF"/>
                <w:sz w:val="18"/>
                <w:szCs w:val="18"/>
              </w:rPr>
              <w:t xml:space="preserve">FIT CON EL MEDIO</w:t>
            </w:r>
          </w:p>
        </w:tc>
      </w:tr>
      <w:tr>
        <w:tc>
          <w:tcPr>
            <w:tcW w:type="dxa" w:w="2500"/>
            <w:tcBorders>
              <w:top w:val="single" w:color="CCCCCC" w:sz="1"/>
              <w:left w:val="single" w:color="CCCCCC" w:sz="1"/>
              <w:bottom w:val="single" w:color="CCCCCC" w:sz="1"/>
              <w:right w:val="single" w:color="CCCCCC" w:sz="1"/>
            </w:tcBorders>
            <w:shd w:fill="F2F3F4" w:val="clear"/>
            <w:tcMar>
              <w:top w:type="dxa" w:w="80"/>
              <w:left w:type="dxa" w:w="100"/>
              <w:bottom w:type="dxa" w:w="80"/>
              <w:right w:type="dxa" w:w="100"/>
            </w:tcMar>
          </w:tcPr>
          <w:p>
            <w:r>
              <w:rPr>
                <w:rFonts w:ascii="Arial" w:cs="Arial" w:eastAsia="Arial" w:hAnsi="Arial"/>
                <w:b/>
                <w:bCs/>
                <w:sz w:val="20"/>
                <w:szCs w:val="20"/>
              </w:rPr>
              <w:t xml:space="preserve">Asistente editorial interno (RAG + Gemini)</w:t>
            </w:r>
          </w:p>
        </w:tc>
        <w:tc>
          <w:tcPr>
            <w:tcW w:type="dxa" w:w="35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r>
              <w:rPr>
                <w:rFonts w:ascii="Arial" w:cs="Arial" w:eastAsia="Arial" w:hAnsi="Arial"/>
                <w:b w:val="false"/>
                <w:bCs w:val="false"/>
                <w:sz w:val="20"/>
                <w:szCs w:val="20"/>
              </w:rPr>
              <w:t xml:space="preserve">Un chatbot interno conectado al archivo del medio vía RAG. Responde preguntas como '¿qué escribimos sobre este tema en los últimos 3 años?' o sugiere artículos relacionados al redactor mientras escribe. Incluye guía de estilo como contexto.</w:t>
            </w:r>
          </w:p>
        </w:tc>
        <w:tc>
          <w:tcPr>
            <w:tcW w:type="dxa" w:w="18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r>
              <w:rPr>
                <w:rFonts w:ascii="Arial" w:cs="Arial" w:eastAsia="Arial" w:hAnsi="Arial"/>
                <w:b w:val="false"/>
                <w:bCs w:val="false"/>
                <w:sz w:val="20"/>
                <w:szCs w:val="20"/>
              </w:rPr>
              <w:t xml:space="preserve">Media</w:t>
            </w:r>
          </w:p>
        </w:tc>
        <w:tc>
          <w:tcPr>
            <w:tcW w:type="dxa" w:w="156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r>
              <w:rPr>
                <w:rFonts w:ascii="Arial" w:cs="Arial" w:eastAsia="Arial" w:hAnsi="Arial"/>
                <w:b w:val="false"/>
                <w:bCs w:val="false"/>
                <w:sz w:val="20"/>
                <w:szCs w:val="20"/>
              </w:rPr>
              <w:t xml:space="preserve">⭐⭐⭐⭐⭐ Muy alto</w:t>
            </w:r>
          </w:p>
        </w:tc>
      </w:tr>
      <w:tr>
        <w:tc>
          <w:tcPr>
            <w:tcW w:type="dxa" w:w="2500"/>
            <w:tcBorders>
              <w:top w:val="single" w:color="CCCCCC" w:sz="1"/>
              <w:left w:val="single" w:color="CCCCCC" w:sz="1"/>
              <w:bottom w:val="single" w:color="CCCCCC" w:sz="1"/>
              <w:right w:val="single" w:color="CCCCCC" w:sz="1"/>
            </w:tcBorders>
            <w:shd w:fill="F2F3F4" w:val="clear"/>
            <w:tcMar>
              <w:top w:type="dxa" w:w="80"/>
              <w:left w:type="dxa" w:w="100"/>
              <w:bottom w:type="dxa" w:w="80"/>
              <w:right w:type="dxa" w:w="100"/>
            </w:tcMar>
          </w:tcPr>
          <w:p>
            <w:r>
              <w:rPr>
                <w:rFonts w:ascii="Arial" w:cs="Arial" w:eastAsia="Arial" w:hAnsi="Arial"/>
                <w:b/>
                <w:bCs/>
                <w:sz w:val="20"/>
                <w:szCs w:val="20"/>
              </w:rPr>
              <w:t xml:space="preserve">Pipeline de transcripción y multiformato</w:t>
            </w:r>
          </w:p>
        </w:tc>
        <w:tc>
          <w:tcPr>
            <w:tcW w:type="dxa" w:w="35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r>
              <w:rPr>
                <w:rFonts w:ascii="Arial" w:cs="Arial" w:eastAsia="Arial" w:hAnsi="Arial"/>
                <w:b w:val="false"/>
                <w:bCs w:val="false"/>
                <w:sz w:val="20"/>
                <w:szCs w:val="20"/>
              </w:rPr>
              <w:t xml:space="preserve">Automatización del flujo: audio/video → transcripción → nota → variantes para redes sociales → metadata SEO. Reduce horas por nota en tareas repetitivas. Usa Gemini para adaptación de tono y formato.</w:t>
            </w:r>
          </w:p>
        </w:tc>
        <w:tc>
          <w:tcPr>
            <w:tcW w:type="dxa" w:w="18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r>
              <w:rPr>
                <w:rFonts w:ascii="Arial" w:cs="Arial" w:eastAsia="Arial" w:hAnsi="Arial"/>
                <w:b w:val="false"/>
                <w:bCs w:val="false"/>
                <w:sz w:val="20"/>
                <w:szCs w:val="20"/>
              </w:rPr>
              <w:t xml:space="preserve">Media-baja</w:t>
            </w:r>
          </w:p>
        </w:tc>
        <w:tc>
          <w:tcPr>
            <w:tcW w:type="dxa" w:w="156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r>
              <w:rPr>
                <w:rFonts w:ascii="Arial" w:cs="Arial" w:eastAsia="Arial" w:hAnsi="Arial"/>
                <w:b w:val="false"/>
                <w:bCs w:val="false"/>
                <w:sz w:val="20"/>
                <w:szCs w:val="20"/>
              </w:rPr>
              <w:t xml:space="preserve">⭐⭐⭐⭐⭐ Muy alto</w:t>
            </w:r>
          </w:p>
        </w:tc>
      </w:tr>
      <w:tr>
        <w:tc>
          <w:tcPr>
            <w:tcW w:type="dxa" w:w="2500"/>
            <w:tcBorders>
              <w:top w:val="single" w:color="CCCCCC" w:sz="1"/>
              <w:left w:val="single" w:color="CCCCCC" w:sz="1"/>
              <w:bottom w:val="single" w:color="CCCCCC" w:sz="1"/>
              <w:right w:val="single" w:color="CCCCCC" w:sz="1"/>
            </w:tcBorders>
            <w:shd w:fill="F2F3F4" w:val="clear"/>
            <w:tcMar>
              <w:top w:type="dxa" w:w="80"/>
              <w:left w:type="dxa" w:w="100"/>
              <w:bottom w:type="dxa" w:w="80"/>
              <w:right w:type="dxa" w:w="100"/>
            </w:tcMar>
          </w:tcPr>
          <w:p>
            <w:r>
              <w:rPr>
                <w:rFonts w:ascii="Arial" w:cs="Arial" w:eastAsia="Arial" w:hAnsi="Arial"/>
                <w:b/>
                <w:bCs/>
                <w:sz w:val="20"/>
                <w:szCs w:val="20"/>
              </w:rPr>
              <w:t xml:space="preserve">Monitor de agenda competidora</w:t>
            </w:r>
          </w:p>
        </w:tc>
        <w:tc>
          <w:tcPr>
            <w:tcW w:type="dxa" w:w="35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r>
              <w:rPr>
                <w:rFonts w:ascii="Arial" w:cs="Arial" w:eastAsia="Arial" w:hAnsi="Arial"/>
                <w:b w:val="false"/>
                <w:bCs w:val="false"/>
                <w:sz w:val="20"/>
                <w:szCs w:val="20"/>
              </w:rPr>
              <w:t xml:space="preserve">Scraper de los N medios competidores que analiza qué publican, con qué frecuencia y cómo titulan. Genera un informe diario automático para la reunión de pauta. Identifica brechas de cobertura.</w:t>
            </w:r>
          </w:p>
        </w:tc>
        <w:tc>
          <w:tcPr>
            <w:tcW w:type="dxa" w:w="18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r>
              <w:rPr>
                <w:rFonts w:ascii="Arial" w:cs="Arial" w:eastAsia="Arial" w:hAnsi="Arial"/>
                <w:b w:val="false"/>
                <w:bCs w:val="false"/>
                <w:sz w:val="20"/>
                <w:szCs w:val="20"/>
              </w:rPr>
              <w:t xml:space="preserve">Media</w:t>
            </w:r>
          </w:p>
        </w:tc>
        <w:tc>
          <w:tcPr>
            <w:tcW w:type="dxa" w:w="156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r>
              <w:rPr>
                <w:rFonts w:ascii="Arial" w:cs="Arial" w:eastAsia="Arial" w:hAnsi="Arial"/>
                <w:b w:val="false"/>
                <w:bCs w:val="false"/>
                <w:sz w:val="20"/>
                <w:szCs w:val="20"/>
              </w:rPr>
              <w:t xml:space="preserve">⭐⭐⭐⭐ Alto</w:t>
            </w:r>
          </w:p>
        </w:tc>
      </w:tr>
      <w:tr>
        <w:tc>
          <w:tcPr>
            <w:tcW w:type="dxa" w:w="2500"/>
            <w:tcBorders>
              <w:top w:val="single" w:color="CCCCCC" w:sz="1"/>
              <w:left w:val="single" w:color="CCCCCC" w:sz="1"/>
              <w:bottom w:val="single" w:color="CCCCCC" w:sz="1"/>
              <w:right w:val="single" w:color="CCCCCC" w:sz="1"/>
            </w:tcBorders>
            <w:shd w:fill="F2F3F4" w:val="clear"/>
            <w:tcMar>
              <w:top w:type="dxa" w:w="80"/>
              <w:left w:type="dxa" w:w="100"/>
              <w:bottom w:type="dxa" w:w="80"/>
              <w:right w:type="dxa" w:w="100"/>
            </w:tcMar>
          </w:tcPr>
          <w:p>
            <w:r>
              <w:rPr>
                <w:rFonts w:ascii="Arial" w:cs="Arial" w:eastAsia="Arial" w:hAnsi="Arial"/>
                <w:b/>
                <w:bCs/>
                <w:sz w:val="20"/>
                <w:szCs w:val="20"/>
              </w:rPr>
              <w:t xml:space="preserve">CRM editorial con motor de recomendación</w:t>
            </w:r>
          </w:p>
        </w:tc>
        <w:tc>
          <w:tcPr>
            <w:tcW w:type="dxa" w:w="35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r>
              <w:rPr>
                <w:rFonts w:ascii="Arial" w:cs="Arial" w:eastAsia="Arial" w:hAnsi="Arial"/>
                <w:b w:val="false"/>
                <w:bCs w:val="false"/>
                <w:sz w:val="20"/>
                <w:szCs w:val="20"/>
              </w:rPr>
              <w:t xml:space="preserve">Evolución del CRM existente: añade una capa de embeddings sobre el comportamiento de lectura para recomendar contenido relevante a cada suscriptor. No automatiza contenido, solo personaliza distribución.</w:t>
            </w:r>
          </w:p>
        </w:tc>
        <w:tc>
          <w:tcPr>
            <w:tcW w:type="dxa" w:w="18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r>
              <w:rPr>
                <w:rFonts w:ascii="Arial" w:cs="Arial" w:eastAsia="Arial" w:hAnsi="Arial"/>
                <w:b w:val="false"/>
                <w:bCs w:val="false"/>
                <w:sz w:val="20"/>
                <w:szCs w:val="20"/>
              </w:rPr>
              <w:t xml:space="preserve">Media-alta</w:t>
            </w:r>
          </w:p>
        </w:tc>
        <w:tc>
          <w:tcPr>
            <w:tcW w:type="dxa" w:w="156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r>
              <w:rPr>
                <w:rFonts w:ascii="Arial" w:cs="Arial" w:eastAsia="Arial" w:hAnsi="Arial"/>
                <w:b w:val="false"/>
                <w:bCs w:val="false"/>
                <w:sz w:val="20"/>
                <w:szCs w:val="20"/>
              </w:rPr>
              <w:t xml:space="preserve">⭐⭐⭐⭐ Alto</w:t>
            </w:r>
          </w:p>
        </w:tc>
      </w:tr>
      <w:tr>
        <w:tc>
          <w:tcPr>
            <w:tcW w:type="dxa" w:w="2500"/>
            <w:tcBorders>
              <w:top w:val="single" w:color="CCCCCC" w:sz="1"/>
              <w:left w:val="single" w:color="CCCCCC" w:sz="1"/>
              <w:bottom w:val="single" w:color="CCCCCC" w:sz="1"/>
              <w:right w:val="single" w:color="CCCCCC" w:sz="1"/>
            </w:tcBorders>
            <w:shd w:fill="F2F3F4" w:val="clear"/>
            <w:tcMar>
              <w:top w:type="dxa" w:w="80"/>
              <w:left w:type="dxa" w:w="100"/>
              <w:bottom w:type="dxa" w:w="80"/>
              <w:right w:type="dxa" w:w="100"/>
            </w:tcMar>
          </w:tcPr>
          <w:p>
            <w:r>
              <w:rPr>
                <w:rFonts w:ascii="Arial" w:cs="Arial" w:eastAsia="Arial" w:hAnsi="Arial"/>
                <w:b/>
                <w:bCs/>
                <w:sz w:val="20"/>
                <w:szCs w:val="20"/>
              </w:rPr>
              <w:t xml:space="preserve">Análisis del discurso público</w:t>
            </w:r>
          </w:p>
        </w:tc>
        <w:tc>
          <w:tcPr>
            <w:tcW w:type="dxa" w:w="35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r>
              <w:rPr>
                <w:rFonts w:ascii="Arial" w:cs="Arial" w:eastAsia="Arial" w:hAnsi="Arial"/>
                <w:b w:val="false"/>
                <w:bCs w:val="false"/>
                <w:sz w:val="20"/>
                <w:szCs w:val="20"/>
              </w:rPr>
              <w:t xml:space="preserve">Herramienta que procesa declaraciones de figuras políticas o institucionales (audio/video/texto) y genera dashboards editoriales: tono, frecuencia de temas, contradicciones con declaraciones anteriores.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r>
              <w:rPr>
                <w:rFonts w:ascii="Arial" w:cs="Arial" w:eastAsia="Arial" w:hAnsi="Arial"/>
                <w:b w:val="false"/>
                <w:bCs w:val="false"/>
                <w:sz w:val="20"/>
                <w:szCs w:val="20"/>
              </w:rPr>
              <w:t xml:space="preserve">Alta</w:t>
            </w:r>
          </w:p>
        </w:tc>
        <w:tc>
          <w:tcPr>
            <w:tcW w:type="dxa" w:w="156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100"/>
            </w:tcMar>
          </w:tcPr>
          <w:p>
            <w:r>
              <w:rPr>
                <w:rFonts w:ascii="Arial" w:cs="Arial" w:eastAsia="Arial" w:hAnsi="Arial"/>
                <w:b w:val="false"/>
                <w:bCs w:val="false"/>
                <w:sz w:val="20"/>
                <w:szCs w:val="20"/>
              </w:rPr>
              <w:t xml:space="preserve">⭐⭐⭐ Medio-alto</w:t>
            </w:r>
          </w:p>
        </w:tc>
      </w:tr>
    </w:tbl>
    <w:p>
      <w:pPr>
        <w:spacing w:after="80" w:before="60"/>
      </w:pPr>
      <w:r>
        <w:rPr>
          <w:rFonts w:ascii="Arial" w:cs="Arial" w:eastAsia="Arial" w:hAnsi="Arial"/>
          <w:sz w:val="22"/>
          <w:szCs w:val="22"/>
        </w:rPr>
        <w:t xml:space="preserve"/>
      </w:r>
    </w:p>
    <w:p>
      <w:pPr>
        <w:spacing w:after="80" w:before="60"/>
      </w:pPr>
      <w:r>
        <w:rPr>
          <w:rFonts w:ascii="Arial" w:cs="Arial" w:eastAsia="Arial" w:hAnsi="Arial"/>
          <w:i/>
          <w:iCs/>
          <w:color w:val="666666"/>
          <w:sz w:val="22"/>
          <w:szCs w:val="22"/>
        </w:rPr>
        <w:t xml:space="preserve">Nota: 'Dificultad técnica' refiere al esfuerzo de implementación, no a la complejidad conceptual. Todas las propuestas son arquitectónicamente viables con Cloud Run + Gemini API + Cloud SQL tal como se vio en las sesiones técnicas.</w:t>
      </w:r>
    </w:p>
    <w:p>
      <w:pPr>
        <w:spacing w:after="80" w:before="60"/>
      </w:pPr>
      <w:r>
        <w:rPr>
          <w:rFonts w:ascii="Arial" w:cs="Arial" w:eastAsia="Arial" w:hAnsi="Arial"/>
          <w:sz w:val="22"/>
          <w:szCs w:val="22"/>
        </w:rPr>
        <w:t xml:space="preserve"/>
      </w:r>
    </w:p>
    <w:p>
      <w:pPr>
        <w:pBdr>
          <w:bottom w:val="single" w:color="2E86C1" w:sz="6" w:space="1"/>
        </w:pBdr>
        <w:spacing w:after="120" w:before="120"/>
      </w:pPr>
      <w:r>
        <w:t xml:space="preserve"/>
      </w:r>
    </w:p>
    <w:p>
      <w:pPr>
        <w:pStyle w:val="Heading1"/>
        <w:spacing w:after="120" w:before="360"/>
      </w:pPr>
      <w:r>
        <w:rPr>
          <w:rFonts w:ascii="Arial" w:cs="Arial" w:eastAsia="Arial" w:hAnsi="Arial"/>
          <w:b/>
          <w:bCs/>
          <w:color w:val="1A5276"/>
          <w:sz w:val="32"/>
          <w:szCs w:val="32"/>
        </w:rPr>
        <w:t xml:space="preserve">5. Recomendación para la reunión del lunes</w:t>
      </w:r>
    </w:p>
    <w:p>
      <w:pPr>
        <w:spacing w:after="80" w:before="60"/>
      </w:pPr>
      <w:r>
        <w:rPr>
          <w:rFonts w:ascii="Arial" w:cs="Arial" w:eastAsia="Arial" w:hAnsi="Arial"/>
          <w:sz w:val="22"/>
          <w:szCs w:val="22"/>
        </w:rPr>
        <w:t xml:space="preserve">Si hay que entrar con una propuesta concisa y sólida, el asistente editorial interno con RAG es la más estratégica por tres razones:</w:t>
      </w:r>
    </w:p>
    <w:p>
      <w:pPr>
        <w:spacing w:after="80" w:before="60"/>
      </w:pPr>
      <w:r>
        <w:rPr>
          <w:rFonts w:ascii="Arial" w:cs="Arial" w:eastAsia="Arial" w:hAnsi="Arial"/>
          <w:sz w:val="22"/>
          <w:szCs w:val="22"/>
        </w:rPr>
        <w:t xml:space="preserve"/>
      </w:r>
    </w:p>
    <w:p>
      <w:pPr>
        <w:pStyle w:val="ListParagraph"/>
        <w:numPr>
          <w:ilvl w:val="0"/>
          <w:numId w:val="2"/>
        </w:numPr>
        <w:spacing w:after="40" w:before="40"/>
      </w:pPr>
      <w:r>
        <w:rPr>
          <w:rFonts w:ascii="Arial" w:cs="Arial" w:eastAsia="Arial" w:hAnsi="Arial"/>
          <w:sz w:val="22"/>
          <w:szCs w:val="22"/>
        </w:rPr>
        <w:t xml:space="preserve">Es directamente utilizable por la redacción desde el día 1, sin cambios en el flujo de trabajo existente.</w:t>
      </w:r>
    </w:p>
    <w:p>
      <w:pPr>
        <w:pStyle w:val="ListParagraph"/>
        <w:numPr>
          <w:ilvl w:val="0"/>
          <w:numId w:val="2"/>
        </w:numPr>
        <w:spacing w:after="40" w:before="40"/>
      </w:pPr>
      <w:r>
        <w:rPr>
          <w:rFonts w:ascii="Arial" w:cs="Arial" w:eastAsia="Arial" w:hAnsi="Arial"/>
          <w:sz w:val="22"/>
          <w:szCs w:val="22"/>
        </w:rPr>
        <w:t xml:space="preserve">Tiene un caso de éxito real ya presentado en el programa (el medio de referencia lo implementó con Microsoft Copilot + CMS propio).</w:t>
      </w:r>
    </w:p>
    <w:p>
      <w:pPr>
        <w:pStyle w:val="ListParagraph"/>
        <w:numPr>
          <w:ilvl w:val="0"/>
          <w:numId w:val="2"/>
        </w:numPr>
        <w:spacing w:after="40" w:before="40"/>
      </w:pPr>
      <w:r>
        <w:rPr>
          <w:rFonts w:ascii="Arial" w:cs="Arial" w:eastAsia="Arial" w:hAnsi="Arial"/>
          <w:sz w:val="22"/>
          <w:szCs w:val="22"/>
        </w:rPr>
        <w:t xml:space="preserve">Es escalable: empieza como buscador de archivo y puede crecer hacia recomendación de artículos, detección de duplicados y asistente de investigación.</w:t>
      </w:r>
    </w:p>
    <w:p>
      <w:pPr>
        <w:spacing w:after="80" w:before="60"/>
      </w:pPr>
      <w:r>
        <w:rPr>
          <w:rFonts w:ascii="Arial" w:cs="Arial" w:eastAsia="Arial" w:hAnsi="Arial"/>
          <w:sz w:val="22"/>
          <w:szCs w:val="22"/>
        </w:rPr>
        <w:t xml:space="preserve"/>
      </w:r>
    </w:p>
    <w:p>
      <w:pPr>
        <w:spacing w:after="80" w:before="60"/>
      </w:pPr>
      <w:r>
        <w:rPr>
          <w:rFonts w:ascii="Arial" w:cs="Arial" w:eastAsia="Arial" w:hAnsi="Arial"/>
          <w:sz w:val="22"/>
          <w:szCs w:val="22"/>
        </w:rPr>
        <w:t xml:space="preserve">El pipeline de multiformato puede presentarse como segundo proyecto (o como fase 2 del mismo), porque complementa sin competir: el asistente trabaja hacia adentro (la redacción) y el pipeline trabaja hacia afuera (la distribución).</w:t>
      </w:r>
    </w:p>
    <w:p>
      <w:pPr>
        <w:spacing w:after="80" w:before="60"/>
      </w:pPr>
      <w:r>
        <w:rPr>
          <w:rFonts w:ascii="Arial" w:cs="Arial" w:eastAsia="Arial" w:hAnsi="Arial"/>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120"/>
          <w:bottom w:type="dxa" w:w="120"/>
        </w:tblCellMar>
      </w:tblPr>
      <w:tblGrid>
        <w:gridCol w:w="9360"/>
      </w:tblGrid>
      <w:tr>
        <w:tc>
          <w:tcPr>
            <w:tcW w:type="dxa" w:w="9360"/>
            <w:tcBorders>
              <w:top w:val="single" w:color="CCCCCC" w:sz="1"/>
              <w:left w:val="single" w:color="CCCCCC" w:sz="1"/>
              <w:bottom w:val="single" w:color="CCCCCC" w:sz="1"/>
              <w:right w:val="single" w:color="CCCCCC" w:sz="1"/>
            </w:tcBorders>
            <w:shd w:fill="D6EAF8" w:val="clear"/>
            <w:tcMar>
              <w:top w:type="dxa" w:w="100"/>
              <w:left w:type="dxa" w:w="140"/>
              <w:bottom w:type="dxa" w:w="60"/>
              <w:right w:type="dxa" w:w="140"/>
            </w:tcMar>
          </w:tcPr>
          <w:p>
            <w:pPr>
              <w:spacing w:after="40" w:before="40"/>
            </w:pPr>
            <w:r>
              <w:rPr>
                <w:rFonts w:ascii="Arial" w:cs="Arial" w:eastAsia="Arial" w:hAnsi="Arial"/>
                <w:b/>
                <w:bCs/>
                <w:color w:val="1A5276"/>
                <w:sz w:val="22"/>
                <w:szCs w:val="22"/>
              </w:rPr>
              <w:t xml:space="preserve">Estructura sugerida para el Blueprint (entregable mínimo)</w:t>
            </w:r>
          </w:p>
        </w:tc>
      </w:tr>
      <w:tr>
        <w:tc>
          <w:tcPr>
            <w:tcW w:type="dxa" w:w="9360"/>
            <w:tcBorders>
              <w:top w:val="single" w:color="CCCCCC" w:sz="1"/>
              <w:left w:val="single" w:color="CCCCCC" w:sz="1"/>
              <w:bottom w:val="single" w:color="CCCCCC" w:sz="1"/>
              <w:right w:val="single" w:color="CCCCCC" w:sz="1"/>
            </w:tcBorders>
            <w:shd w:fill="FDFEFE" w:val="clear"/>
            <w:tcMar>
              <w:top w:type="dxa" w:w="80"/>
              <w:left w:type="dxa" w:w="140"/>
              <w:bottom w:type="dxa" w:w="80"/>
              <w:right w:type="dxa" w:w="140"/>
            </w:tcMar>
          </w:tcPr>
          <w:p>
            <w:pPr>
              <w:spacing w:after="30" w:before="30"/>
            </w:pPr>
            <w:r>
              <w:rPr>
                <w:rFonts w:ascii="Arial" w:cs="Arial" w:eastAsia="Arial" w:hAnsi="Arial"/>
                <w:sz w:val="21"/>
                <w:szCs w:val="21"/>
              </w:rPr>
              <w:t xml:space="preserve">1. Problema identificado: qué dolor concreto resuelve el proyecto</w:t>
            </w:r>
          </w:p>
        </w:tc>
      </w:tr>
      <w:tr>
        <w:tc>
          <w:tcPr>
            <w:tcW w:type="dxa" w:w="9360"/>
            <w:tcBorders>
              <w:top w:val="single" w:color="CCCCCC" w:sz="1"/>
              <w:left w:val="single" w:color="CCCCCC" w:sz="1"/>
              <w:bottom w:val="single" w:color="CCCCCC" w:sz="1"/>
              <w:right w:val="single" w:color="CCCCCC" w:sz="1"/>
            </w:tcBorders>
            <w:shd w:fill="FDFEFE" w:val="clear"/>
            <w:tcMar>
              <w:top w:type="dxa" w:w="80"/>
              <w:left w:type="dxa" w:w="140"/>
              <w:bottom w:type="dxa" w:w="80"/>
              <w:right w:type="dxa" w:w="140"/>
            </w:tcMar>
          </w:tcPr>
          <w:p>
            <w:pPr>
              <w:spacing w:after="30" w:before="30"/>
            </w:pPr>
            <w:r>
              <w:rPr>
                <w:rFonts w:ascii="Arial" w:cs="Arial" w:eastAsia="Arial" w:hAnsi="Arial"/>
                <w:sz w:val="21"/>
                <w:szCs w:val="21"/>
              </w:rPr>
              <w:t xml:space="preserve">2. Solución propuesta: descripción funcional sin tecnicismos</w:t>
            </w:r>
          </w:p>
        </w:tc>
      </w:tr>
      <w:tr>
        <w:tc>
          <w:tcPr>
            <w:tcW w:type="dxa" w:w="9360"/>
            <w:tcBorders>
              <w:top w:val="single" w:color="CCCCCC" w:sz="1"/>
              <w:left w:val="single" w:color="CCCCCC" w:sz="1"/>
              <w:bottom w:val="single" w:color="CCCCCC" w:sz="1"/>
              <w:right w:val="single" w:color="CCCCCC" w:sz="1"/>
            </w:tcBorders>
            <w:shd w:fill="FDFEFE" w:val="clear"/>
            <w:tcMar>
              <w:top w:type="dxa" w:w="80"/>
              <w:left w:type="dxa" w:w="140"/>
              <w:bottom w:type="dxa" w:w="80"/>
              <w:right w:type="dxa" w:w="140"/>
            </w:tcMar>
          </w:tcPr>
          <w:p>
            <w:pPr>
              <w:spacing w:after="30" w:before="30"/>
            </w:pPr>
            <w:r>
              <w:rPr>
                <w:rFonts w:ascii="Arial" w:cs="Arial" w:eastAsia="Arial" w:hAnsi="Arial"/>
                <w:sz w:val="21"/>
                <w:szCs w:val="21"/>
              </w:rPr>
              <w:t xml:space="preserve">3. Arquitectura técnica: diagrama con Cloud Run, Gemini API, base de datos vectorial</w:t>
            </w:r>
          </w:p>
        </w:tc>
      </w:tr>
      <w:tr>
        <w:tc>
          <w:tcPr>
            <w:tcW w:type="dxa" w:w="9360"/>
            <w:tcBorders>
              <w:top w:val="single" w:color="CCCCCC" w:sz="1"/>
              <w:left w:val="single" w:color="CCCCCC" w:sz="1"/>
              <w:bottom w:val="single" w:color="CCCCCC" w:sz="1"/>
              <w:right w:val="single" w:color="CCCCCC" w:sz="1"/>
            </w:tcBorders>
            <w:shd w:fill="FDFEFE" w:val="clear"/>
            <w:tcMar>
              <w:top w:type="dxa" w:w="80"/>
              <w:left w:type="dxa" w:w="140"/>
              <w:bottom w:type="dxa" w:w="80"/>
              <w:right w:type="dxa" w:w="140"/>
            </w:tcMar>
          </w:tcPr>
          <w:p>
            <w:pPr>
              <w:spacing w:after="30" w:before="30"/>
            </w:pPr>
            <w:r>
              <w:rPr>
                <w:rFonts w:ascii="Arial" w:cs="Arial" w:eastAsia="Arial" w:hAnsi="Arial"/>
                <w:sz w:val="21"/>
                <w:szCs w:val="21"/>
              </w:rPr>
              <w:t xml:space="preserve">4. Equipo responsable: perfiles técnicos + perfil editorial que 'traduzca'</w:t>
            </w:r>
          </w:p>
        </w:tc>
      </w:tr>
      <w:tr>
        <w:tc>
          <w:tcPr>
            <w:tcW w:type="dxa" w:w="9360"/>
            <w:tcBorders>
              <w:top w:val="single" w:color="CCCCCC" w:sz="1"/>
              <w:left w:val="single" w:color="CCCCCC" w:sz="1"/>
              <w:bottom w:val="single" w:color="CCCCCC" w:sz="1"/>
              <w:right w:val="single" w:color="CCCCCC" w:sz="1"/>
            </w:tcBorders>
            <w:shd w:fill="FDFEFE" w:val="clear"/>
            <w:tcMar>
              <w:top w:type="dxa" w:w="80"/>
              <w:left w:type="dxa" w:w="140"/>
              <w:bottom w:type="dxa" w:w="80"/>
              <w:right w:type="dxa" w:w="140"/>
            </w:tcMar>
          </w:tcPr>
          <w:p>
            <w:pPr>
              <w:spacing w:after="30" w:before="30"/>
            </w:pPr>
            <w:r>
              <w:rPr>
                <w:rFonts w:ascii="Arial" w:cs="Arial" w:eastAsia="Arial" w:hAnsi="Arial"/>
                <w:sz w:val="21"/>
                <w:szCs w:val="21"/>
              </w:rPr>
              <w:t xml:space="preserve">5. OKRs: métricas de éxito a 3 y 6 meses (ej: tiempo ahorrado por nota, tasa de uso del asistente)</w:t>
            </w:r>
          </w:p>
        </w:tc>
      </w:tr>
      <w:tr>
        <w:tc>
          <w:tcPr>
            <w:tcW w:type="dxa" w:w="9360"/>
            <w:tcBorders>
              <w:top w:val="single" w:color="CCCCCC" w:sz="1"/>
              <w:left w:val="single" w:color="CCCCCC" w:sz="1"/>
              <w:bottom w:val="single" w:color="CCCCCC" w:sz="1"/>
              <w:right w:val="single" w:color="CCCCCC" w:sz="1"/>
            </w:tcBorders>
            <w:shd w:fill="FDFEFE" w:val="clear"/>
            <w:tcMar>
              <w:top w:type="dxa" w:w="80"/>
              <w:left w:type="dxa" w:w="140"/>
              <w:bottom w:type="dxa" w:w="80"/>
              <w:right w:type="dxa" w:w="140"/>
            </w:tcMar>
          </w:tcPr>
          <w:p>
            <w:pPr>
              <w:spacing w:after="30" w:before="30"/>
            </w:pPr>
            <w:r>
              <w:rPr>
                <w:rFonts w:ascii="Arial" w:cs="Arial" w:eastAsia="Arial" w:hAnsi="Arial"/>
                <w:sz w:val="21"/>
                <w:szCs w:val="21"/>
              </w:rPr>
              <w:t xml:space="preserve">6. Cronograma estimado: fases de MVP, prueba piloto y escala</w:t>
            </w:r>
          </w:p>
        </w:tc>
      </w:tr>
    </w:tbl>
    <w:p>
      <w:pPr>
        <w:spacing w:after="80" w:before="60"/>
      </w:pPr>
      <w:r>
        <w:rPr>
          <w:rFonts w:ascii="Arial" w:cs="Arial" w:eastAsia="Arial" w:hAnsi="Arial"/>
          <w:sz w:val="22"/>
          <w:szCs w:val="22"/>
        </w:rPr>
        <w:t xml:space="preserve"/>
      </w:r>
    </w:p>
    <w:p>
      <w:pPr>
        <w:spacing w:after="0" w:before="200"/>
      </w:pPr>
      <w:r>
        <w:rPr>
          <w:rFonts w:ascii="Arial" w:cs="Arial" w:eastAsia="Arial" w:hAnsi="Arial"/>
          <w:i/>
          <w:iCs/>
          <w:color w:val="999999"/>
          <w:sz w:val="18"/>
          <w:szCs w:val="18"/>
        </w:rPr>
        <w:t xml:space="preserve">Preparado a partir de las sesiones del AI News Business Program (mayo–junio 2026)  |  Track Técnico + Track Editorial</w:t>
      </w:r>
    </w:p>
    <w:sectPr>
      <w:pgSz w:w="12240" w:h="15840" w:orient="portrait"/>
      <w:pgMar w:top="1440" w:right="1200" w:bottom="1440" w:left="12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360"/>
      <w:outlineLvl w:val="0"/>
    </w:pPr>
    <w:rPr>
      <w:rFonts w:ascii="Arial" w:cs="Arial" w:eastAsia="Arial" w:hAnsi="Arial"/>
      <w:b/>
      <w:bCs/>
      <w:color w:val="1A5276"/>
      <w:sz w:val="32"/>
      <w:szCs w:val="32"/>
    </w:rPr>
  </w:style>
  <w:style w:type="paragraph" w:styleId="Heading2">
    <w:name w:val="Heading 2"/>
    <w:basedOn w:val="Normal"/>
    <w:next w:val="Normal"/>
    <w:qFormat/>
    <w:pPr>
      <w:spacing w:after="80" w:before="280"/>
      <w:outlineLvl w:val="1"/>
    </w:pPr>
    <w:rPr>
      <w:rFonts w:ascii="Arial" w:cs="Arial" w:eastAsia="Arial" w:hAnsi="Arial"/>
      <w:b/>
      <w:bCs/>
      <w:color w:val="2E86C1"/>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2026-06-19T16:09:12.131Z</dcterms:created>
  <dcterms:modified xsi:type="dcterms:W3CDTF">2026-06-19T16:09:12.131Z</dcterms:modified>
</cp:coreProperties>
</file>

<file path=docProps/custom.xml><?xml version="1.0" encoding="utf-8"?>
<Properties xmlns="http://schemas.openxmlformats.org/officeDocument/2006/custom-properties" xmlns:vt="http://schemas.openxmlformats.org/officeDocument/2006/docPropsVTypes"/>
</file>